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44"/>
          <w:szCs w:val="44"/>
        </w:rPr>
      </w:pPr>
      <w:r>
        <w:rPr>
          <w:sz w:val="44"/>
          <w:szCs w:val="44"/>
        </w:rPr>
        <w:pict>
          <v:shape id="_x0000_i1025" o:spt="136" type="#_x0000_t136" style="height:57pt;width:425.25pt;" fillcolor="#FFFFFF" filled="t" stroked="t" coordsize="21600,21600" adj="10800">
            <v:path/>
            <v:fill on="t" color2="#FFFFFF" focussize="0,0"/>
            <v:stroke color="#FFFFFF"/>
            <v:imagedata o:title=""/>
            <o:lock v:ext="edit" aspectratio="f"/>
            <v:textpath on="t" fitshape="t" fitpath="t" trim="t" xscale="f" string="伊春市嘉荫生态环境局文件" style="font-family:方正小标宋简体;font-size:36pt;font-weight:bold;v-text-align:center;"/>
            <w10:wrap type="none"/>
            <w10:anchorlock/>
          </v:shape>
        </w:pic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pacing w:val="-20"/>
          <w:sz w:val="32"/>
          <w:szCs w:val="32"/>
        </w:rPr>
      </w:pPr>
    </w:p>
    <w:p>
      <w:pPr>
        <w:keepNext w:val="0"/>
        <w:keepLines w:val="0"/>
        <w:pageBreakBefore w:val="0"/>
        <w:widowControl w:val="0"/>
        <w:tabs>
          <w:tab w:val="left" w:pos="480"/>
          <w:tab w:val="left" w:pos="8640"/>
          <w:tab w:val="left" w:pos="8800"/>
        </w:tabs>
        <w:kinsoku/>
        <w:wordWrap/>
        <w:overflowPunct/>
        <w:topLinePunct w:val="0"/>
        <w:autoSpaceDE/>
        <w:autoSpaceDN/>
        <w:bidi w:val="0"/>
        <w:adjustRightInd/>
        <w:snapToGrid/>
        <w:spacing w:line="560" w:lineRule="exact"/>
        <w:jc w:val="center"/>
        <w:textAlignment w:val="auto"/>
        <w:rPr>
          <w:sz w:val="32"/>
          <w:szCs w:val="32"/>
        </w:rPr>
      </w:pPr>
      <w:r>
        <w:rPr>
          <w:rFonts w:hint="eastAsia" w:ascii="仿宋_GB2312" w:hAnsi="仿宋_GB2312" w:eastAsia="仿宋_GB2312" w:cs="仿宋_GB2312"/>
          <w:b w:val="0"/>
          <w:bCs/>
          <w:spacing w:val="-20"/>
          <w:sz w:val="32"/>
          <w:szCs w:val="32"/>
        </w:rPr>
        <w:t>嘉环建审〔</w:t>
      </w:r>
      <w:r>
        <w:rPr>
          <w:rFonts w:hint="eastAsia" w:ascii="仿宋_GB2312" w:hAnsi="仿宋_GB2312" w:eastAsia="仿宋_GB2312" w:cs="仿宋_GB2312"/>
          <w:b w:val="0"/>
          <w:bCs/>
          <w:spacing w:val="-20"/>
          <w:sz w:val="32"/>
          <w:szCs w:val="32"/>
          <w:lang w:val="en-US" w:eastAsia="zh-CN"/>
        </w:rPr>
        <w:t>2025</w:t>
      </w:r>
      <w:r>
        <w:rPr>
          <w:rFonts w:hint="eastAsia" w:ascii="仿宋_GB2312" w:hAnsi="仿宋_GB2312" w:eastAsia="仿宋_GB2312" w:cs="仿宋_GB2312"/>
          <w:b w:val="0"/>
          <w:bCs/>
          <w:spacing w:val="-20"/>
          <w:sz w:val="32"/>
          <w:szCs w:val="32"/>
        </w:rPr>
        <w:t>〕</w:t>
      </w:r>
      <w:r>
        <w:rPr>
          <w:rFonts w:hint="eastAsia" w:ascii="仿宋_GB2312" w:hAnsi="仿宋_GB2312" w:eastAsia="仿宋_GB2312" w:cs="仿宋_GB2312"/>
          <w:b w:val="0"/>
          <w:bCs/>
          <w:spacing w:val="-20"/>
          <w:sz w:val="32"/>
          <w:szCs w:val="32"/>
          <w:lang w:val="en-US" w:eastAsia="zh-CN"/>
        </w:rPr>
        <w:t>9号</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bookmarkStart w:id="0" w:name="OLE_LINK2"/>
      <w:r>
        <w:rPr>
          <w:rFonts w:hint="eastAsia" w:ascii="方正小标宋简体" w:hAnsi="方正小标宋简体" w:eastAsia="方正小标宋简体" w:cs="方正小标宋简体"/>
          <w:b w:val="0"/>
          <w:bCs w:val="0"/>
          <w:sz w:val="44"/>
          <w:szCs w:val="44"/>
          <w:lang w:val="en-US" w:eastAsia="zh-CN"/>
        </w:rPr>
        <w:t>北大荒集团黑龙江嘉荫农场有限公司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双龙新区供热锅炉改造项目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jc w:val="center"/>
        <w:textAlignment w:val="auto"/>
        <w:outlineLvl w:val="9"/>
        <w:rPr>
          <w:rFonts w:hint="eastAsia" w:ascii="仿宋_GB2312" w:hAnsi="仿宋_GB2312" w:eastAsia="仿宋_GB2312" w:cs="仿宋_GB2312"/>
          <w:b w:val="0"/>
          <w:bCs w:val="0"/>
          <w:spacing w:val="-20"/>
          <w:sz w:val="44"/>
          <w:szCs w:val="44"/>
          <w:lang w:val="en-US" w:eastAsia="zh-CN"/>
        </w:rPr>
      </w:pPr>
      <w:r>
        <w:rPr>
          <w:rFonts w:hint="eastAsia" w:ascii="方正小标宋简体" w:hAnsi="方正小标宋简体" w:eastAsia="方正小标宋简体" w:cs="方正小标宋简体"/>
          <w:b w:val="0"/>
          <w:bCs w:val="0"/>
          <w:sz w:val="44"/>
          <w:szCs w:val="44"/>
        </w:rPr>
        <w:t>环境影响报告表</w:t>
      </w:r>
      <w:bookmarkEnd w:id="0"/>
      <w:r>
        <w:rPr>
          <w:rFonts w:hint="eastAsia" w:ascii="方正小标宋简体" w:hAnsi="方正小标宋简体" w:eastAsia="方正小标宋简体" w:cs="方正小标宋简体"/>
          <w:b w:val="0"/>
          <w:bCs w:val="0"/>
          <w:sz w:val="44"/>
          <w:szCs w:val="44"/>
        </w:rPr>
        <w:t>的批复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jc w:val="both"/>
        <w:textAlignment w:val="auto"/>
        <w:outlineLvl w:val="9"/>
        <w:rPr>
          <w:rFonts w:hint="eastAsia" w:ascii="仿宋_GB2312" w:hAnsi="仿宋_GB2312" w:eastAsia="仿宋_GB2312" w:cs="仿宋_GB2312"/>
          <w:b w:val="0"/>
          <w:bCs/>
          <w:spacing w:val="-2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北大荒集团黑龙江嘉荫农场有限公司：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仿宋_GB2312" w:hAnsi="仿宋_GB2312" w:eastAsia="仿宋_GB2312" w:cs="仿宋_GB2312"/>
          <w:b w:val="0"/>
          <w:bCs/>
          <w:spacing w:val="-20"/>
          <w:sz w:val="32"/>
          <w:szCs w:val="32"/>
        </w:rPr>
      </w:pPr>
      <w:r>
        <w:rPr>
          <w:rFonts w:hint="eastAsia" w:ascii="仿宋_GB2312" w:hAnsi="仿宋_GB2312" w:eastAsia="仿宋_GB2312" w:cs="仿宋_GB2312"/>
          <w:b w:val="0"/>
          <w:bCs/>
          <w:spacing w:val="-20"/>
          <w:sz w:val="32"/>
          <w:szCs w:val="32"/>
        </w:rPr>
        <w:t>你单位报送的《</w:t>
      </w:r>
      <w:r>
        <w:rPr>
          <w:rFonts w:hint="eastAsia" w:ascii="仿宋_GB2312" w:hAnsi="仿宋_GB2312" w:eastAsia="仿宋_GB2312" w:cs="仿宋_GB2312"/>
          <w:b w:val="0"/>
          <w:bCs/>
          <w:spacing w:val="-20"/>
          <w:sz w:val="32"/>
          <w:szCs w:val="32"/>
          <w:lang w:val="en-US" w:eastAsia="zh-CN"/>
        </w:rPr>
        <w:t>北大荒集团黑龙江嘉荫农场有限公司双龙新区供热锅炉改造项目环境影响报告表</w:t>
      </w:r>
      <w:r>
        <w:rPr>
          <w:rFonts w:hint="eastAsia" w:ascii="仿宋_GB2312" w:hAnsi="仿宋_GB2312" w:eastAsia="仿宋_GB2312" w:cs="仿宋_GB2312"/>
          <w:b w:val="0"/>
          <w:bCs/>
          <w:spacing w:val="-20"/>
          <w:sz w:val="32"/>
          <w:szCs w:val="32"/>
          <w:lang w:eastAsia="zh-CN"/>
        </w:rPr>
        <w:t>》</w:t>
      </w:r>
      <w:r>
        <w:rPr>
          <w:rFonts w:hint="eastAsia" w:ascii="仿宋_GB2312" w:hAnsi="仿宋_GB2312" w:eastAsia="仿宋_GB2312" w:cs="仿宋_GB2312"/>
          <w:b w:val="0"/>
          <w:bCs/>
          <w:spacing w:val="-20"/>
          <w:sz w:val="32"/>
          <w:szCs w:val="32"/>
        </w:rPr>
        <w:t>（以下简称《报告表》）已收悉，经审查，经专家组评审后，本项目的建设符合国家相关政策和产业结构调整方向，现将审批意见批复如下：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黑体" w:hAnsi="黑体" w:eastAsia="黑体" w:cs="黑体"/>
          <w:b w:val="0"/>
          <w:bCs/>
          <w:spacing w:val="-20"/>
          <w:sz w:val="32"/>
          <w:szCs w:val="32"/>
        </w:rPr>
      </w:pPr>
      <w:r>
        <w:rPr>
          <w:rFonts w:hint="eastAsia" w:ascii="黑体" w:hAnsi="黑体" w:eastAsia="黑体" w:cs="黑体"/>
          <w:b w:val="0"/>
          <w:bCs/>
          <w:spacing w:val="-20"/>
          <w:sz w:val="32"/>
          <w:szCs w:val="32"/>
        </w:rPr>
        <w:t>一、具体内容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项目名称：北大荒集团黑龙江嘉荫农场有限公司双龙新区供热锅炉改造项目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建设地点：黑龙江省伊春市嘉荫县嘉荫农场双龙新区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建设单位：北大荒集团黑龙江嘉荫农场有限公司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建设性质</w:t>
      </w:r>
      <w:r>
        <w:rPr>
          <w:rFonts w:hint="eastAsia" w:ascii="仿宋_GB2312" w:hAnsi="仿宋_GB2312" w:eastAsia="仿宋_GB2312" w:cs="仿宋_GB2312"/>
          <w:color w:val="auto"/>
          <w:kern w:val="0"/>
          <w:sz w:val="32"/>
          <w:szCs w:val="32"/>
          <w:lang w:val="en-US" w:eastAsia="zh-CN"/>
        </w:rPr>
        <w:t>：改扩建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环境影响评价机构：黑龙江山人环保科技有限公司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right="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项目内容：</w:t>
      </w:r>
      <w:bookmarkStart w:id="1" w:name="_Hlk108069045"/>
      <w:r>
        <w:rPr>
          <w:rFonts w:hint="eastAsia" w:ascii="仿宋_GB2312" w:hAnsi="仿宋_GB2312" w:eastAsia="仿宋_GB2312" w:cs="仿宋_GB2312"/>
          <w:sz w:val="32"/>
          <w:szCs w:val="32"/>
          <w:lang w:val="en-US" w:eastAsia="zh-CN"/>
        </w:rPr>
        <w:t>本项目在原有锅炉房内拆除一台6MW的燃煤锅炉，新建1台10.5MW燃生物质热水锅炉，锅炉型号</w:t>
      </w:r>
      <w:r>
        <w:rPr>
          <w:rFonts w:hint="eastAsia" w:ascii="仿宋_GB2312" w:hAnsi="仿宋_GB2312" w:eastAsia="仿宋_GB2312" w:cs="仿宋_GB2312"/>
          <w:sz w:val="28"/>
          <w:szCs w:val="28"/>
          <w:lang w:val="en-US" w:eastAsia="zh-CN"/>
        </w:rPr>
        <w:t>SHW10.5-1.0/115/70-S。</w:t>
      </w:r>
      <w:r>
        <w:rPr>
          <w:rFonts w:hint="eastAsia" w:ascii="仿宋_GB2312" w:hAnsi="仿宋_GB2312" w:eastAsia="仿宋_GB2312" w:cs="仿宋_GB2312"/>
          <w:sz w:val="32"/>
          <w:szCs w:val="32"/>
          <w:lang w:val="en-US" w:eastAsia="zh-CN"/>
        </w:rPr>
        <w:t>总供热面积为8.2万m2。用于嘉荫农场新场部双龙新区居民区集中生活供暖的备用锅炉，锅炉配备旋风+布袋除尘器+低氮燃烧器，通过锅炉房45m高烟囱集中排放，以成型的生物质颗粒为燃料。建设管道 50 米；配套土建改造 1200 平方米（保温门、墙地面维修、散水维修、配电间改造及洁具更换、输送廊封闭）等。</w:t>
      </w:r>
    </w:p>
    <w:bookmarkEnd w:id="1"/>
    <w:p>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atLeast"/>
        <w:ind w:right="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总投资：345.53万元，其中环保投资17万元。</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60" w:firstLineChars="200"/>
        <w:jc w:val="both"/>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pacing w:val="-20"/>
          <w:sz w:val="32"/>
          <w:szCs w:val="32"/>
        </w:rPr>
        <w:t>二、</w:t>
      </w:r>
      <w:r>
        <w:rPr>
          <w:rFonts w:hint="eastAsia" w:ascii="黑体" w:hAnsi="黑体" w:eastAsia="黑体" w:cs="黑体"/>
          <w:b w:val="0"/>
          <w:bCs/>
          <w:sz w:val="32"/>
          <w:szCs w:val="32"/>
          <w:lang w:val="zh-CN"/>
        </w:rPr>
        <w:t>项目</w:t>
      </w:r>
      <w:r>
        <w:rPr>
          <w:rFonts w:hint="eastAsia" w:ascii="黑体" w:hAnsi="黑体" w:eastAsia="黑体" w:cs="黑体"/>
          <w:b w:val="0"/>
          <w:bCs/>
          <w:sz w:val="32"/>
          <w:szCs w:val="32"/>
          <w:lang w:val="en-US" w:eastAsia="zh-CN"/>
        </w:rPr>
        <w:t>污染防治措施</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一、建设期</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1、水环境影响分析</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废水主要为施工人员生活污水，依托厂区内原有生活污水处理设施，排入防渗旱厕，定期清掏堆肥。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2、声环境影响分析</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锅炉及相关设施安装，均在锅炉房内进行，采取密闭隔音、夜间不施工等措施,减少噪声影响。</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3、固体废物环境影响分析</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 xml:space="preserve">施工人员生活垃圾交由市政部门统一处理。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二、运营期</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1、废水</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锅炉排污水及软化水制备排污水用于厂区及锅炉房洒水降尘、冲渣抑尘、不外排。</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2、固体废物</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bookmarkStart w:id="2" w:name="_Hlk111126776"/>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本项目布袋每3年更换一次，废弃布袋集中收集后交厂家统一收集处置；锅炉灰渣产生后密闭输送至灰渣库暂存，灰渣库洒水降尘，定期外售综合利用；本项目锅炉软化水处理工艺采用离子交换树脂，废离子交换树脂产生后交厂家统一收集处置。</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3、废气</w:t>
      </w:r>
    </w:p>
    <w:bookmarkEnd w:id="2"/>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本项目锅炉除渣过程在锅炉房内完成，并配合洒水降尘措施，锅炉灰渣暂存在灰渣间，杜绝露天堆放，并配合表面洒水降尘，对灰渣仓采取封闭、洒水抑尘措施，转运过程遮盖苫布，粉尘以无组织形式在厂区排放。</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4、噪声</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本项目选用低噪声、低振动、高质量的设备，排汽口安装消声器，采取基础减振、建筑物隔声等措施。</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三</w:t>
      </w:r>
      <w:r>
        <w:rPr>
          <w:rFonts w:hint="eastAsia" w:ascii="黑体" w:hAnsi="黑体" w:eastAsia="黑体" w:cs="黑体"/>
          <w:b w:val="0"/>
          <w:bCs/>
          <w:kern w:val="0"/>
          <w:sz w:val="32"/>
          <w:szCs w:val="32"/>
        </w:rPr>
        <w:t>、项目管理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rPr>
        <w:t>建设单位必须严格落实报告表提出的各项环保措施，保证各配套环保设备正常运行。保证环境保护设施建设与主体工程建设 “三同时”</w:t>
      </w:r>
      <w:r>
        <w:rPr>
          <w:rFonts w:hint="eastAsia" w:ascii="仿宋_GB2312" w:hAnsi="仿宋_GB2312" w:eastAsia="仿宋_GB2312" w:cs="仿宋_GB2312"/>
          <w:b w:val="0"/>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kern w:val="0"/>
          <w:sz w:val="32"/>
          <w:szCs w:val="32"/>
        </w:rPr>
        <w:t>项目竣工后，建设单位须按规定程序</w:t>
      </w:r>
      <w:r>
        <w:rPr>
          <w:rFonts w:hint="eastAsia" w:ascii="仿宋_GB2312" w:hAnsi="仿宋_GB2312" w:eastAsia="仿宋_GB2312" w:cs="仿宋_GB2312"/>
          <w:b w:val="0"/>
          <w:bCs/>
          <w:kern w:val="0"/>
          <w:sz w:val="32"/>
          <w:szCs w:val="32"/>
          <w:lang w:eastAsia="zh-CN"/>
        </w:rPr>
        <w:t>自行验收，相关文件报备至本地区生态环境部门备案</w:t>
      </w:r>
      <w:r>
        <w:rPr>
          <w:rFonts w:hint="eastAsia" w:ascii="仿宋_GB2312" w:hAnsi="仿宋_GB2312" w:eastAsia="仿宋_GB2312" w:cs="仿宋_GB2312"/>
          <w:b w:val="0"/>
          <w:bCs/>
          <w:kern w:val="0"/>
          <w:sz w:val="32"/>
          <w:szCs w:val="32"/>
        </w:rPr>
        <w:t>，</w:t>
      </w:r>
      <w:r>
        <w:rPr>
          <w:rFonts w:hint="eastAsia" w:ascii="仿宋_GB2312" w:hAnsi="仿宋_GB2312" w:eastAsia="仿宋_GB2312" w:cs="仿宋_GB2312"/>
          <w:b w:val="0"/>
          <w:bCs/>
          <w:kern w:val="0"/>
          <w:sz w:val="32"/>
          <w:szCs w:val="32"/>
          <w:lang w:eastAsia="zh-CN"/>
        </w:rPr>
        <w:t>积极配合日后环境监管。</w:t>
      </w:r>
      <w:r>
        <w:rPr>
          <w:rFonts w:hint="eastAsia" w:ascii="仿宋_GB2312" w:hAnsi="仿宋_GB2312" w:eastAsia="仿宋_GB2312" w:cs="仿宋_GB2312"/>
          <w:b w:val="0"/>
          <w:bCs/>
          <w:kern w:val="0"/>
          <w:sz w:val="32"/>
          <w:szCs w:val="32"/>
        </w:rPr>
        <w:t>严格执行生态保护措施，如发生重大变动，须重新审批。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040" w:firstLineChars="1800"/>
        <w:jc w:val="both"/>
        <w:textAlignment w:val="auto"/>
        <w:outlineLvl w:val="9"/>
        <w:rPr>
          <w:rFonts w:hint="eastAsia" w:ascii="仿宋_GB2312" w:hAnsi="仿宋_GB2312" w:eastAsia="仿宋_GB2312" w:cs="仿宋_GB2312"/>
          <w:b w:val="0"/>
          <w:bCs/>
          <w:spacing w:val="-2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5040" w:firstLineChars="18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right="0" w:firstLine="5320" w:firstLineChars="1900"/>
        <w:jc w:val="both"/>
        <w:textAlignment w:val="auto"/>
        <w:outlineLvl w:val="9"/>
        <w:rPr>
          <w:rFonts w:hint="eastAsia" w:ascii="仿宋_GB2312" w:hAnsi="仿宋_GB2312" w:eastAsia="仿宋_GB2312" w:cs="仿宋_GB2312"/>
          <w:b w:val="0"/>
          <w:bCs/>
          <w:spacing w:val="-20"/>
          <w:sz w:val="32"/>
          <w:szCs w:val="32"/>
          <w:lang w:val="en-US" w:eastAsia="zh-CN"/>
        </w:rPr>
      </w:pPr>
      <w:r>
        <w:rPr>
          <w:rFonts w:hint="eastAsia" w:ascii="仿宋_GB2312" w:hAnsi="仿宋_GB2312" w:eastAsia="仿宋_GB2312" w:cs="仿宋_GB2312"/>
          <w:b w:val="0"/>
          <w:bCs/>
          <w:spacing w:val="-20"/>
          <w:sz w:val="32"/>
          <w:szCs w:val="32"/>
          <w:lang w:val="en-US" w:eastAsia="zh-CN"/>
        </w:rPr>
        <w:t>2025</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8</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22日</w:t>
      </w:r>
    </w:p>
    <w:p>
      <w:pPr>
        <w:pStyle w:val="5"/>
        <w:rPr>
          <w:rFonts w:hint="eastAsia" w:ascii="仿宋_GB2312" w:hAnsi="仿宋_GB2312" w:eastAsia="仿宋_GB2312" w:cs="仿宋_GB2312"/>
          <w:b w:val="0"/>
          <w:bCs/>
          <w:spacing w:val="-20"/>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right="0" w:firstLine="280" w:firstLineChars="100"/>
        <w:jc w:val="both"/>
        <w:textAlignment w:val="auto"/>
        <w:outlineLvl w:val="9"/>
        <w:rPr>
          <w:rFonts w:hint="eastAsia" w:cstheme="minorBidi"/>
          <w:kern w:val="2"/>
          <w:sz w:val="21"/>
          <w:szCs w:val="22"/>
          <w:lang w:val="en-US" w:eastAsia="zh-CN" w:bidi="ar-SA"/>
        </w:rPr>
      </w:pPr>
      <w:r>
        <w:rPr>
          <w:rFonts w:hint="eastAsia" w:ascii="仿宋_GB2312" w:hAnsi="仿宋_GB2312" w:eastAsia="仿宋_GB2312" w:cs="仿宋_GB2312"/>
          <w:b w:val="0"/>
          <w:bCs/>
          <w:spacing w:val="-20"/>
          <w:sz w:val="32"/>
          <w:szCs w:val="32"/>
        </w:rPr>
        <w:pict>
          <v:line id="_x0000_s1033" o:spid="_x0000_s1033" o:spt="20" style="position:absolute;left:0pt;margin-left:0pt;margin-top:28.6pt;height:0pt;width:448pt;z-index:251661312;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rPr>
        <w:pict>
          <v:line id="_x0000_s1034" o:spid="_x0000_s1034" o:spt="20" style="position:absolute;left:0pt;margin-left:0pt;margin-top:1.6pt;height:0pt;width:448pt;z-index:251660288;mso-width-relative:page;mso-height-relative:page;" filled="f" coordsize="21600,21600">
            <v:path arrowok="t"/>
            <v:fill on="f" focussize="0,0"/>
            <v:stroke/>
            <v:imagedata o:title=""/>
            <o:lock v:ext="edit"/>
          </v:line>
        </w:pict>
      </w:r>
      <w:r>
        <w:rPr>
          <w:rFonts w:hint="eastAsia" w:ascii="仿宋_GB2312" w:hAnsi="仿宋_GB2312" w:eastAsia="仿宋_GB2312" w:cs="仿宋_GB2312"/>
          <w:b w:val="0"/>
          <w:bCs/>
          <w:spacing w:val="-20"/>
          <w:sz w:val="32"/>
          <w:szCs w:val="32"/>
          <w:lang w:eastAsia="zh-CN"/>
        </w:rPr>
        <w:t>伊春市嘉荫生态环境局</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 xml:space="preserve">   </w:t>
      </w:r>
      <w:r>
        <w:rPr>
          <w:rFonts w:hint="eastAsia" w:ascii="仿宋_GB2312" w:hAnsi="仿宋_GB2312" w:eastAsia="仿宋_GB2312" w:cs="仿宋_GB2312"/>
          <w:b w:val="0"/>
          <w:bCs/>
          <w:spacing w:val="-20"/>
          <w:sz w:val="32"/>
          <w:szCs w:val="32"/>
        </w:rPr>
        <w:t xml:space="preserve">  </w:t>
      </w:r>
      <w:r>
        <w:rPr>
          <w:rFonts w:hint="eastAsia" w:ascii="仿宋_GB2312" w:hAnsi="仿宋_GB2312" w:eastAsia="仿宋_GB2312" w:cs="仿宋_GB2312"/>
          <w:b w:val="0"/>
          <w:bCs/>
          <w:spacing w:val="-20"/>
          <w:sz w:val="32"/>
          <w:szCs w:val="32"/>
          <w:lang w:val="en-US" w:eastAsia="zh-CN"/>
        </w:rPr>
        <w:t>2025</w:t>
      </w:r>
      <w:r>
        <w:rPr>
          <w:rFonts w:hint="eastAsia" w:ascii="仿宋_GB2312" w:hAnsi="仿宋_GB2312" w:eastAsia="仿宋_GB2312" w:cs="仿宋_GB2312"/>
          <w:b w:val="0"/>
          <w:bCs/>
          <w:spacing w:val="-20"/>
          <w:sz w:val="32"/>
          <w:szCs w:val="32"/>
        </w:rPr>
        <w:t>年</w:t>
      </w:r>
      <w:r>
        <w:rPr>
          <w:rFonts w:hint="eastAsia" w:ascii="仿宋_GB2312" w:hAnsi="仿宋_GB2312" w:eastAsia="仿宋_GB2312" w:cs="仿宋_GB2312"/>
          <w:b w:val="0"/>
          <w:bCs/>
          <w:spacing w:val="-20"/>
          <w:sz w:val="32"/>
          <w:szCs w:val="32"/>
          <w:lang w:val="en-US" w:eastAsia="zh-CN"/>
        </w:rPr>
        <w:t>8</w:t>
      </w:r>
      <w:r>
        <w:rPr>
          <w:rFonts w:hint="eastAsia" w:ascii="仿宋_GB2312" w:hAnsi="仿宋_GB2312" w:eastAsia="仿宋_GB2312" w:cs="仿宋_GB2312"/>
          <w:b w:val="0"/>
          <w:bCs/>
          <w:spacing w:val="-20"/>
          <w:sz w:val="32"/>
          <w:szCs w:val="32"/>
        </w:rPr>
        <w:t>月</w:t>
      </w:r>
      <w:r>
        <w:rPr>
          <w:rFonts w:hint="eastAsia" w:ascii="仿宋_GB2312" w:hAnsi="仿宋_GB2312" w:eastAsia="仿宋_GB2312" w:cs="仿宋_GB2312"/>
          <w:b w:val="0"/>
          <w:bCs/>
          <w:spacing w:val="-20"/>
          <w:sz w:val="32"/>
          <w:szCs w:val="32"/>
          <w:lang w:val="en-US" w:eastAsia="zh-CN"/>
        </w:rPr>
        <w:t>22</w:t>
      </w:r>
      <w:bookmarkStart w:id="3" w:name="_GoBack"/>
      <w:bookmarkEnd w:id="3"/>
      <w:r>
        <w:rPr>
          <w:rFonts w:hint="eastAsia" w:ascii="仿宋_GB2312" w:hAnsi="仿宋_GB2312" w:eastAsia="仿宋_GB2312" w:cs="仿宋_GB2312"/>
          <w:b w:val="0"/>
          <w:bCs/>
          <w:spacing w:val="-20"/>
          <w:sz w:val="32"/>
          <w:szCs w:val="32"/>
        </w:rPr>
        <w:t xml:space="preserve">日 </w:t>
      </w:r>
      <w:r>
        <w:rPr>
          <w:rFonts w:hint="eastAsia" w:ascii="仿宋" w:hAnsi="仿宋" w:eastAsia="仿宋" w:cs="仿宋"/>
          <w:b w:val="0"/>
          <w:bCs/>
          <w:spacing w:val="-20"/>
          <w:sz w:val="32"/>
          <w:szCs w:val="32"/>
        </w:rPr>
        <w:t xml:space="preserve">   </w:t>
      </w:r>
    </w:p>
    <w:sectPr>
      <w:footerReference r:id="rId3" w:type="default"/>
      <w:pgSz w:w="11906" w:h="16838"/>
      <w:pgMar w:top="1531" w:right="124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77B95"/>
    <w:multiLevelType w:val="singleLevel"/>
    <w:tmpl w:val="3F777B95"/>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wMTNiZTM1ZTkzNWUxNjhjNTQzMjg5NDIzNjE5OGMifQ=="/>
  </w:docVars>
  <w:rsids>
    <w:rsidRoot w:val="001B0C2F"/>
    <w:rsid w:val="0001730E"/>
    <w:rsid w:val="001B0C2F"/>
    <w:rsid w:val="001E0FB5"/>
    <w:rsid w:val="005B0F7C"/>
    <w:rsid w:val="006C414B"/>
    <w:rsid w:val="009A63DC"/>
    <w:rsid w:val="009D2AD3"/>
    <w:rsid w:val="00EF10B6"/>
    <w:rsid w:val="010D0030"/>
    <w:rsid w:val="025E3ACE"/>
    <w:rsid w:val="03534BA3"/>
    <w:rsid w:val="04B45A07"/>
    <w:rsid w:val="060A133A"/>
    <w:rsid w:val="068A39D5"/>
    <w:rsid w:val="0ABA65F9"/>
    <w:rsid w:val="0AF24DBE"/>
    <w:rsid w:val="0DDD4B8A"/>
    <w:rsid w:val="10643BE8"/>
    <w:rsid w:val="11111022"/>
    <w:rsid w:val="13820A34"/>
    <w:rsid w:val="14455071"/>
    <w:rsid w:val="149A7A47"/>
    <w:rsid w:val="153A470C"/>
    <w:rsid w:val="16383523"/>
    <w:rsid w:val="17957348"/>
    <w:rsid w:val="18496D0F"/>
    <w:rsid w:val="186A2FA6"/>
    <w:rsid w:val="1E790D19"/>
    <w:rsid w:val="21CE2586"/>
    <w:rsid w:val="23E341AC"/>
    <w:rsid w:val="2414155B"/>
    <w:rsid w:val="269C129A"/>
    <w:rsid w:val="26CC1D22"/>
    <w:rsid w:val="28EC4343"/>
    <w:rsid w:val="2A1349DD"/>
    <w:rsid w:val="2B193335"/>
    <w:rsid w:val="2E0F1DA6"/>
    <w:rsid w:val="32770ED0"/>
    <w:rsid w:val="365B5056"/>
    <w:rsid w:val="39D16722"/>
    <w:rsid w:val="39ED67B4"/>
    <w:rsid w:val="3B7072B8"/>
    <w:rsid w:val="3ED2362F"/>
    <w:rsid w:val="3F105A2B"/>
    <w:rsid w:val="3FD860CF"/>
    <w:rsid w:val="40A419DF"/>
    <w:rsid w:val="42674667"/>
    <w:rsid w:val="47E425FE"/>
    <w:rsid w:val="498106AE"/>
    <w:rsid w:val="4B4B6D7C"/>
    <w:rsid w:val="4C0A5E75"/>
    <w:rsid w:val="50925F6D"/>
    <w:rsid w:val="54284C14"/>
    <w:rsid w:val="579F6D41"/>
    <w:rsid w:val="5905198F"/>
    <w:rsid w:val="5A7C2027"/>
    <w:rsid w:val="5D821EBD"/>
    <w:rsid w:val="5DED1393"/>
    <w:rsid w:val="60845921"/>
    <w:rsid w:val="60BC0CEF"/>
    <w:rsid w:val="614C1A72"/>
    <w:rsid w:val="617C2ED8"/>
    <w:rsid w:val="68AC0E60"/>
    <w:rsid w:val="68B808FF"/>
    <w:rsid w:val="68C42AB2"/>
    <w:rsid w:val="693C36A0"/>
    <w:rsid w:val="6A6E2CEB"/>
    <w:rsid w:val="6E8D27C7"/>
    <w:rsid w:val="6F00224C"/>
    <w:rsid w:val="71323A25"/>
    <w:rsid w:val="71EE23F6"/>
    <w:rsid w:val="753E2BFF"/>
    <w:rsid w:val="75DE2E7A"/>
    <w:rsid w:val="76E463EA"/>
    <w:rsid w:val="78E63066"/>
    <w:rsid w:val="7ABD276F"/>
    <w:rsid w:val="7C4D1716"/>
    <w:rsid w:val="7D28064C"/>
    <w:rsid w:val="7E8A15D3"/>
    <w:rsid w:val="7FE64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next w:val="4"/>
    <w:qFormat/>
    <w:uiPriority w:val="0"/>
    <w:pPr>
      <w:widowControl w:val="0"/>
      <w:tabs>
        <w:tab w:val="left" w:pos="4440"/>
      </w:tabs>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7">
    <w:name w:val="Normal Indent"/>
    <w:basedOn w:val="1"/>
    <w:next w:val="1"/>
    <w:qFormat/>
    <w:uiPriority w:val="0"/>
    <w:pPr>
      <w:ind w:firstLine="420"/>
    </w:pPr>
    <w:rPr>
      <w:rFonts w:ascii="Times New Roman" w:eastAsia="仿宋_GB2312"/>
      <w:kern w:val="2"/>
      <w:sz w:val="21"/>
    </w:rPr>
  </w:style>
  <w:style w:type="paragraph" w:styleId="8">
    <w:name w:val="Body Text"/>
    <w:basedOn w:val="1"/>
    <w:next w:val="9"/>
    <w:qFormat/>
    <w:uiPriority w:val="0"/>
    <w:pPr>
      <w:widowControl/>
      <w:snapToGrid w:val="0"/>
      <w:spacing w:before="60" w:after="160" w:line="259" w:lineRule="auto"/>
      <w:ind w:right="113"/>
    </w:pPr>
    <w:rPr>
      <w:kern w:val="0"/>
      <w:sz w:val="18"/>
      <w:szCs w:val="20"/>
    </w:rPr>
  </w:style>
  <w:style w:type="paragraph" w:customStyle="1" w:styleId="9">
    <w:name w:val="Normal (Web)1"/>
    <w:basedOn w:val="1"/>
    <w:next w:val="10"/>
    <w:qFormat/>
    <w:uiPriority w:val="0"/>
    <w:pPr>
      <w:widowControl/>
      <w:jc w:val="left"/>
    </w:pPr>
    <w:rPr>
      <w:rFonts w:ascii="宋体" w:cs="Times New Roman"/>
      <w:kern w:val="0"/>
      <w:sz w:val="24"/>
      <w:szCs w:val="21"/>
    </w:rPr>
  </w:style>
  <w:style w:type="paragraph" w:customStyle="1" w:styleId="10">
    <w:name w:val="Date1"/>
    <w:basedOn w:val="1"/>
    <w:next w:val="1"/>
    <w:qFormat/>
    <w:uiPriority w:val="0"/>
    <w:pPr>
      <w:ind w:left="2500" w:leftChars="2500"/>
    </w:pPr>
  </w:style>
  <w:style w:type="paragraph" w:styleId="11">
    <w:name w:val="List Bullet 5"/>
    <w:basedOn w:val="1"/>
    <w:semiHidden/>
    <w:unhideWhenUsed/>
    <w:qFormat/>
    <w:uiPriority w:val="99"/>
    <w:pPr>
      <w:numPr>
        <w:ilvl w:val="0"/>
        <w:numId w:val="1"/>
      </w:numPr>
    </w:pPr>
  </w:style>
  <w:style w:type="paragraph" w:styleId="12">
    <w:name w:val="Balloon Text"/>
    <w:basedOn w:val="1"/>
    <w:link w:val="31"/>
    <w:semiHidden/>
    <w:unhideWhenUsed/>
    <w:qFormat/>
    <w:uiPriority w:val="99"/>
    <w:rPr>
      <w:sz w:val="18"/>
      <w:szCs w:val="18"/>
    </w:rPr>
  </w:style>
  <w:style w:type="paragraph" w:styleId="13">
    <w:name w:val="footer"/>
    <w:basedOn w:val="1"/>
    <w:link w:val="30"/>
    <w:semiHidden/>
    <w:unhideWhenUsed/>
    <w:qFormat/>
    <w:uiPriority w:val="99"/>
    <w:pPr>
      <w:tabs>
        <w:tab w:val="center" w:pos="4153"/>
        <w:tab w:val="right" w:pos="8306"/>
      </w:tabs>
      <w:snapToGrid w:val="0"/>
      <w:jc w:val="left"/>
    </w:pPr>
    <w:rPr>
      <w:sz w:val="18"/>
      <w:szCs w:val="18"/>
    </w:rPr>
  </w:style>
  <w:style w:type="paragraph" w:styleId="14">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line="360" w:lineRule="auto"/>
    </w:pPr>
    <w:rPr>
      <w:b/>
      <w:sz w:val="24"/>
    </w:rPr>
  </w:style>
  <w:style w:type="paragraph" w:styleId="16">
    <w:name w:val="List"/>
    <w:basedOn w:val="1"/>
    <w:next w:val="1"/>
    <w:qFormat/>
    <w:uiPriority w:val="0"/>
    <w:pPr>
      <w:ind w:left="200" w:hanging="200" w:hangingChars="200"/>
    </w:pPr>
  </w:style>
  <w:style w:type="paragraph" w:styleId="17">
    <w:name w:val="toc 2"/>
    <w:basedOn w:val="1"/>
    <w:next w:val="1"/>
    <w:semiHidden/>
    <w:qFormat/>
    <w:uiPriority w:val="0"/>
    <w:pPr>
      <w:ind w:left="420" w:leftChars="200"/>
    </w:pPr>
  </w:style>
  <w:style w:type="paragraph" w:styleId="1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topLinePunct/>
      <w:spacing w:line="360" w:lineRule="auto"/>
      <w:ind w:left="1080" w:leftChars="500" w:hanging="1080" w:hangingChars="500"/>
    </w:pPr>
    <w:rPr>
      <w:rFonts w:ascii="Arial" w:hAnsi="Arial" w:eastAsia="仿宋_GB2312"/>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Body Text First Indent"/>
    <w:basedOn w:val="1"/>
    <w:qFormat/>
    <w:uiPriority w:val="0"/>
    <w:pPr>
      <w:ind w:firstLine="420" w:firstLineChars="100"/>
    </w:pPr>
    <w:rPr>
      <w:rFonts w:ascii="Times New Roman" w:hAnsi="Times New Roman"/>
      <w:szCs w:val="24"/>
    </w:rPr>
  </w:style>
  <w:style w:type="paragraph" w:styleId="21">
    <w:name w:val="Body Text First Indent 2"/>
    <w:basedOn w:val="1"/>
    <w:next w:val="20"/>
    <w:qFormat/>
    <w:uiPriority w:val="0"/>
    <w:pPr>
      <w:ind w:firstLine="420" w:firstLineChars="200"/>
    </w:pPr>
    <w:rPr>
      <w:kern w:val="2"/>
      <w:sz w:val="21"/>
      <w:szCs w:val="24"/>
    </w:rPr>
  </w:style>
  <w:style w:type="paragraph" w:customStyle="1" w:styleId="24">
    <w:name w:val="11111"/>
    <w:basedOn w:val="1"/>
    <w:next w:val="1"/>
    <w:qFormat/>
    <w:uiPriority w:val="0"/>
    <w:pPr>
      <w:spacing w:line="360" w:lineRule="auto"/>
      <w:ind w:firstLine="200" w:firstLineChars="200"/>
    </w:pPr>
    <w:rPr>
      <w:rFonts w:hAnsi="宋体" w:cs="宋体"/>
      <w:szCs w:val="24"/>
    </w:rPr>
  </w:style>
  <w:style w:type="paragraph" w:customStyle="1" w:styleId="25">
    <w:name w:val="样式 正文首行缩进 + 首行缩进:  2 字符1"/>
    <w:basedOn w:val="1"/>
    <w:next w:val="15"/>
    <w:qFormat/>
    <w:uiPriority w:val="0"/>
    <w:pPr>
      <w:spacing w:line="360" w:lineRule="auto"/>
      <w:ind w:firstLine="480" w:firstLineChars="200"/>
    </w:pPr>
    <w:rPr>
      <w:sz w:val="24"/>
    </w:rPr>
  </w:style>
  <w:style w:type="paragraph" w:customStyle="1" w:styleId="26">
    <w:name w:val="表头"/>
    <w:basedOn w:val="16"/>
    <w:next w:val="27"/>
    <w:qFormat/>
    <w:uiPriority w:val="0"/>
    <w:pPr>
      <w:tabs>
        <w:tab w:val="left" w:pos="4440"/>
      </w:tabs>
      <w:autoSpaceDE w:val="0"/>
      <w:autoSpaceDN w:val="0"/>
      <w:adjustRightInd w:val="0"/>
      <w:snapToGrid w:val="0"/>
      <w:spacing w:beforeLines="25" w:afterLines="25" w:line="360" w:lineRule="auto"/>
      <w:ind w:firstLine="200" w:firstLineChars="200"/>
      <w:jc w:val="center"/>
      <w:textAlignment w:val="bottom"/>
    </w:pPr>
    <w:rPr>
      <w:rFonts w:ascii="黑体" w:hAnsi="Calibri" w:eastAsia="黑体" w:cs="Times New Roman"/>
      <w:spacing w:val="16"/>
      <w:kern w:val="0"/>
      <w:sz w:val="24"/>
      <w:szCs w:val="24"/>
    </w:rPr>
  </w:style>
  <w:style w:type="paragraph" w:customStyle="1" w:styleId="27">
    <w:name w:val="表1"/>
    <w:next w:val="1"/>
    <w:qFormat/>
    <w:uiPriority w:val="0"/>
    <w:pPr>
      <w:adjustRightInd w:val="0"/>
      <w:snapToGrid w:val="0"/>
      <w:jc w:val="center"/>
    </w:pPr>
    <w:rPr>
      <w:rFonts w:ascii="宋体" w:hAnsi="Times New Roman" w:eastAsia="宋体" w:cs="Times New Roman"/>
      <w:sz w:val="21"/>
      <w:szCs w:val="22"/>
      <w:lang w:val="en-US" w:eastAsia="zh-CN" w:bidi="ar-SA"/>
    </w:rPr>
  </w:style>
  <w:style w:type="paragraph" w:customStyle="1" w:styleId="28">
    <w:name w:val="纯文本1"/>
    <w:basedOn w:val="1"/>
    <w:qFormat/>
    <w:uiPriority w:val="0"/>
    <w:pPr>
      <w:adjustRightInd w:val="0"/>
    </w:pPr>
    <w:rPr>
      <w:rFonts w:ascii="宋体" w:hAnsi="Courier New"/>
      <w:szCs w:val="20"/>
    </w:rPr>
  </w:style>
  <w:style w:type="character" w:customStyle="1" w:styleId="29">
    <w:name w:val="页眉 Char"/>
    <w:basedOn w:val="23"/>
    <w:link w:val="14"/>
    <w:semiHidden/>
    <w:qFormat/>
    <w:uiPriority w:val="99"/>
    <w:rPr>
      <w:sz w:val="18"/>
      <w:szCs w:val="18"/>
    </w:rPr>
  </w:style>
  <w:style w:type="character" w:customStyle="1" w:styleId="30">
    <w:name w:val="页脚 Char"/>
    <w:basedOn w:val="23"/>
    <w:link w:val="13"/>
    <w:semiHidden/>
    <w:qFormat/>
    <w:uiPriority w:val="99"/>
    <w:rPr>
      <w:sz w:val="18"/>
      <w:szCs w:val="18"/>
    </w:rPr>
  </w:style>
  <w:style w:type="character" w:customStyle="1" w:styleId="31">
    <w:name w:val="批注框文本 Char"/>
    <w:basedOn w:val="23"/>
    <w:link w:val="12"/>
    <w:semiHidden/>
    <w:qFormat/>
    <w:uiPriority w:val="99"/>
    <w:rPr>
      <w:sz w:val="18"/>
      <w:szCs w:val="18"/>
    </w:rPr>
  </w:style>
  <w:style w:type="paragraph" w:customStyle="1" w:styleId="32">
    <w:name w:val="【正文】"/>
    <w:basedOn w:val="1"/>
    <w:next w:val="18"/>
    <w:qFormat/>
    <w:uiPriority w:val="99"/>
    <w:pPr>
      <w:spacing w:line="360" w:lineRule="auto"/>
      <w:ind w:firstLine="480" w:firstLineChars="200"/>
    </w:pPr>
    <w:rPr>
      <w:rFonts w:ascii="Calibri" w:hAnsi="Calibri" w:eastAsia="宋体" w:cs="Times New Roman"/>
      <w:kern w:val="0"/>
      <w:sz w:val="24"/>
      <w:szCs w:val="24"/>
    </w:rPr>
  </w:style>
  <w:style w:type="paragraph" w:customStyle="1" w:styleId="33">
    <w:name w:val="正文00"/>
    <w:basedOn w:val="1"/>
    <w:next w:val="34"/>
    <w:qFormat/>
    <w:uiPriority w:val="0"/>
    <w:pPr>
      <w:spacing w:line="360" w:lineRule="auto"/>
      <w:ind w:left="480" w:firstLine="3808"/>
    </w:pPr>
    <w:rPr>
      <w:kern w:val="0"/>
      <w:sz w:val="20"/>
      <w:szCs w:val="20"/>
    </w:rPr>
  </w:style>
  <w:style w:type="paragraph" w:customStyle="1" w:styleId="34">
    <w:name w:val="样式 Times New Roman 五号 居中1"/>
    <w:basedOn w:val="1"/>
    <w:next w:val="26"/>
    <w:qFormat/>
    <w:uiPriority w:val="0"/>
    <w:pPr>
      <w:ind w:firstLine="3584"/>
      <w:jc w:val="center"/>
    </w:pPr>
    <w:rPr>
      <w:kern w:val="0"/>
      <w:sz w:val="20"/>
      <w:szCs w:val="20"/>
    </w:rPr>
  </w:style>
  <w:style w:type="paragraph" w:customStyle="1" w:styleId="35">
    <w:name w:val="a正文"/>
    <w:basedOn w:val="36"/>
    <w:qFormat/>
    <w:uiPriority w:val="0"/>
    <w:pPr>
      <w:ind w:firstLine="480"/>
    </w:pPr>
    <w:rPr>
      <w:rFonts w:cs="Times New Roman"/>
    </w:rPr>
  </w:style>
  <w:style w:type="paragraph" w:customStyle="1" w:styleId="36">
    <w:name w:val="正文格式"/>
    <w:basedOn w:val="1"/>
    <w:next w:val="1"/>
    <w:qFormat/>
    <w:uiPriority w:val="0"/>
    <w:pPr>
      <w:spacing w:line="360" w:lineRule="auto"/>
      <w:ind w:firstLine="420" w:firstLineChars="200"/>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1209</Words>
  <Characters>1261</Characters>
  <Lines>1</Lines>
  <Paragraphs>1</Paragraphs>
  <TotalTime>5</TotalTime>
  <ScaleCrop>false</ScaleCrop>
  <LinksUpToDate>false</LinksUpToDate>
  <CharactersWithSpaces>1322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2023-03-27T00:09:00Z</dcterms:created>
  <dc:creator>Administrator</dc:creator>
  <cp:lastModifiedBy>啡杯</cp:lastModifiedBy>
  <cp:lastPrinted>2025-08-22T02:51:54Z</cp:lastPrinted>
  <dcterms:modified xsi:type="dcterms:W3CDTF">2025-08-22T02:52:30Z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C704A37A80F64AEA97A70A9E22318C8F_12</vt:lpwstr>
  </property>
  <property fmtid="{D5CDD505-2E9C-101B-9397-08002B2CF9AE}" pid="4" name="KSOTemplateDocerSaveRecord">
    <vt:lpwstr>eyJoZGlkIjoiZjg1ZDNjODk3YmJjMTkxZTA0MGU1NjA0MzdlNDUzYTUiLCJ1c2VySWQiOiI2MzU0OTQzNjIifQ==</vt:lpwstr>
  </property>
</Properties>
</file>